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18"/>
        <w:jc w:val="right"/>
        <w:spacing w:line="240" w:lineRule="exact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8"/>
        <w:jc w:val="right"/>
        <w:spacing w:line="240" w:lineRule="exact"/>
        <w:rPr>
          <w:rFonts w:ascii="Times New Roman" w:hAnsi="Times New Roman" w:cs="Times New Roman"/>
          <w:sz w:val="28"/>
          <w:szCs w:val="28"/>
        </w:rPr>
        <w:outlineLvl w:val="0"/>
      </w:pPr>
      <w:r>
        <w:rPr>
          <w:rFonts w:ascii="Times New Roman" w:hAnsi="Times New Roman" w:cs="Times New Roman"/>
          <w:sz w:val="28"/>
          <w:szCs w:val="28"/>
        </w:rPr>
        <w:t xml:space="preserve">Приложение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jc w:val="right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тарифному соглашению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jc w:val="right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сфере обязательного медицинского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jc w:val="right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страхования на территории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jc w:val="right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Ставропольского края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jc w:val="right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26 марта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5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8"/>
        <w:jc w:val="both"/>
      </w:pPr>
      <w:r/>
      <w:r/>
    </w:p>
    <w:p>
      <w:pPr>
        <w:pStyle w:val="920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</w:r>
      <w:bookmarkStart w:id="0" w:name="P17801"/>
      <w:r>
        <w:rPr>
          <w:sz w:val="28"/>
          <w:szCs w:val="28"/>
        </w:rPr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ТАРИФЫ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ОПЛАТУ СТОМАТОЛОГИЧЕСКИХ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jc w:val="center"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ЛЕЧЕБНО-ДИАГНОСТИЧЕСКИХ УСЛУГ</w:t>
      </w:r>
      <w:r>
        <w:rPr>
          <w:rStyle w:val="928"/>
          <w:rFonts w:ascii="Times New Roman" w:hAnsi="Times New Roman" w:cs="Times New Roman"/>
          <w:sz w:val="28"/>
          <w:szCs w:val="28"/>
        </w:rPr>
        <w:footnoteReference w:id="2"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0"/>
        <w:jc w:val="center"/>
        <w:spacing w:line="24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38"/>
        <w:ind w:firstLine="540"/>
        <w:jc w:val="both"/>
        <w:spacing w:before="0" w:beforeAutospacing="0" w:after="0" w:afterAutospacing="0" w:line="288" w:lineRule="atLeast"/>
        <w:rPr>
          <w:highlight w:val="white"/>
        </w:rPr>
      </w:pPr>
      <w:r>
        <w:rPr>
          <w:highlight w:val="white"/>
        </w:rPr>
        <w:t xml:space="preserve">Базовый тариф на оплату случая оказания стоматологической помощи составляет 258,83 рублей, в котором доля фонда оплаты труда составляет не менее 80 процентов. </w:t>
      </w:r>
      <w:r>
        <w:rPr>
          <w:highlight w:val="white"/>
        </w:rPr>
      </w:r>
      <w:r>
        <w:rPr>
          <w:highlight w:val="white"/>
        </w:rPr>
      </w:r>
    </w:p>
    <w:p>
      <w:pPr>
        <w:pStyle w:val="938"/>
        <w:ind w:firstLine="540"/>
        <w:jc w:val="both"/>
        <w:spacing w:before="0" w:beforeAutospacing="0" w:after="0" w:afterAutospacing="0" w:line="288" w:lineRule="atLeast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91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(рублей)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9782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57" w:type="dxa"/>
          <w:right w:w="62" w:type="dxa"/>
          <w:bottom w:w="57" w:type="dxa"/>
        </w:tblCellMar>
        <w:tblLook w:val="04A0" w:firstRow="1" w:lastRow="0" w:firstColumn="1" w:lastColumn="0" w:noHBand="0" w:noVBand="1"/>
      </w:tblPr>
      <w:tblGrid>
        <w:gridCol w:w="851"/>
        <w:gridCol w:w="1985"/>
        <w:gridCol w:w="2271"/>
        <w:gridCol w:w="1134"/>
        <w:gridCol w:w="1131"/>
        <w:gridCol w:w="1134"/>
        <w:gridCol w:w="1276"/>
      </w:tblGrid>
      <w:tr>
        <w:tblPrEx/>
        <w:trPr>
          <w:tblHeader/>
        </w:trPr>
        <w:tc>
          <w:tcPr>
            <w:tcW w:w="851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стр.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Код услуги в системе ОМС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стоматологической лечебно-диагностической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2265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Число 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2"/>
            <w:tcW w:w="2410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Тариф услуги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blHeader/>
        </w:trPr>
        <w:tc>
          <w:tcPr>
            <w:tcW w:w="851" w:type="dxa"/>
            <w:vMerge w:val="continue"/>
            <w:textDirection w:val="lrTb"/>
            <w:noWrap w:val="false"/>
          </w:tcPr>
          <w:p>
            <w:pPr>
              <w:pStyle w:val="9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vMerge w:val="continue"/>
            <w:textDirection w:val="lrTb"/>
            <w:noWrap w:val="false"/>
          </w:tcPr>
          <w:p>
            <w:pPr>
              <w:pStyle w:val="9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vMerge w:val="continue"/>
            <w:textDirection w:val="lrTb"/>
            <w:noWrap w:val="false"/>
          </w:tcPr>
          <w:p>
            <w:pPr>
              <w:pStyle w:val="9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взрослые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взрослые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>
          <w:trHeight w:val="22"/>
          <w:tblHeader/>
        </w:trPr>
        <w:tc>
          <w:tcPr>
            <w:tcW w:w="851" w:type="dxa"/>
            <w:vMerge w:val="continue"/>
            <w:textDirection w:val="lrTb"/>
            <w:noWrap w:val="false"/>
          </w:tcPr>
          <w:p>
            <w:pPr>
              <w:pStyle w:val="91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pacing w:line="20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A12.07.001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Витальное окрашивание твердых тканей зуба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0,35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0,35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90,59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90,59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A12.07.003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индексов гигиены полости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157,89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157,89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A12.07.004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Определение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пародонтальных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индексов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0,76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0,76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196,71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196,71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B01.003.004.002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Проводниковая анестезия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248,48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248,48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B01.003.004.004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Аппликационная анестезия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80,24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80,24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B01.003.004.005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Инфильтрационная анестезия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129,42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129,42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A06.30.002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и интерпретация рентгенографических изображений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240,71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240,71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A06.07.010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Радиовизиография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челюстно-лицевой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194,12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194,12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A06.07.003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Прицельная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внутриротовая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контактная рентгенография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194,12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194,12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Взятие образца биологического материала из очагов поражения органов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289,89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289,89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A11.01.019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соскоба с эрозивно-язвенных элементов кожи и слизистых оболочек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289,89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289,89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Инъекционное введение лекарственных препаратов в челюстно-лицевую область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284,71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284,71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A25.07.001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Назначение лекарственных препаратов при заболеваниях полости рта и зубов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64,71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64,71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A05.07.001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Электроодонтометрия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108,71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108,71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B01.064.003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врача-стоматолога детского первичный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1,95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504,72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B01.064.004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врача-стоматолога детского повторный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354,60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B04.064.001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Диспансерный прием (осмотр, консультация) врача - стоматолога детского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308,01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B01.065.007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врача-стоматолога первичный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1,68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1,95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434,83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504,72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B01.065.008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врача-стоматолога повторный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305,42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354,60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B04.065.005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Диспансерный прием (осмотр, консультация) врача-стоматолога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323,54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308,01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B01.065.001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врача - стоматолога-терапевта первичный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1,68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434,83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B01.065.002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врача - стоматолога-терапевта повторный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305,42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B04.065.001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Диспансерный прием (осмотр, консультация) врача - стоматолога-терапевта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323,54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B01.065.003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зубного врача первичный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1,68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1,95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434,83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504,72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B01.065.004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зубного врача повторный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305,42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354,60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B04.065.003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Диспансерный прием (осмотр, консультация) зубного врача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323,54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308,01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B01.065.005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гигиениста стоматологического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первичный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388,25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388,25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B01.065.006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гигиениста стоматологического повторный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232,95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232,95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A03.07.001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Люминесцентная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стоматоскопия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0,63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0,63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163,06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163,06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Введение лекарственных препаратов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пародонтальный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карман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256,24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256,24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Аппликация лекарственного препарата на слизистую оболочку полости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116,47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116,47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A16.07.051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гигиена полости рта и зубов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517,66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517,66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A16.07.082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Сошлифовывание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твердых тканей зуба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64,71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64,71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A11.07.023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метода серебрения зуба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0,88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0,88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227,77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227,77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A15.07.003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Наложение лечебной повязки при заболеваниях слизистой оболочки полости рта и пародонта в области одной челюсти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517,66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517,66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A16.07.002.001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 зуба пломбой I, II, III, V, VI класс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Блэку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стоматологических цементов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396,01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396,01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A16.07.002.002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 зуба пломбой I, II, III, V, VI класс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Блэку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материалов химического отверждения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1,95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1,95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504,72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504,72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A16.07.002.003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 зуба пломбой с нарушением контактного пункта II, III класс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Блэку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стоматологических цементов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1,85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1,85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478,84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478,84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A16.07.002.004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 зуба пломбой с нарушением контактного пункта II, III класс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Блэку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материалов химического отверждения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647,08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647,08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A16.07.002.005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 зуба пломбой IV класс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Блэку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стеклоиномерных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цементов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2,45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2,45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634,13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634,13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A16.07.002.006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 зуба пломбой IV класс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Блэку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материалов химического отверждения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841,20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841,20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A16.07.002.007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 зуба пломбой из амальгамы I, V класс по Блэку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1,95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1,95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504,72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504,72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A16.07.002.008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 зуба пломбой из амальгамы II класс по Блэку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603,07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603,07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A16.07.002.010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 зуба пломбой I, V, VI класс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Блэку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материалов из фотополимеров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3,35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3,35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867,08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867,08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A16.07.002.011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 зуба пломбой с нарушением контактного пункта II, III класс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Блэку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материалов из фотополимеров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970,61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970,61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A16.07.002.012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Восстановление зуба пломбой IV класс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Блэку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использованием материалов из фотополимеров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1035,32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1035,32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A16.07.002.009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Наложение временной пломбы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323,54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323,54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Снятие временной пломбы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64,71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64,71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A16.07.092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Трепанация зуба, искусственной коронки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124,24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124,24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A16.07.008.001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Пломбирование корневого канала зуба пастой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300,24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300,24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A16.07.008.002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Пломбирование корневого канала зуба гуттаперчевыми штифтами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1,70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1,70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440,01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440,01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A11.07.027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девитализирующей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пасты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7,76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7,76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Пульпотомия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(ампутация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коронковой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пульпы)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54,35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54,35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Экстирпация пульпы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0,46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119,06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119,06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Временное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шинирование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заболеваниях пародонта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1,98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1,98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512,48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512,48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A16.07.020.001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Удаление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наддесневых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поддесневых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зубных отложений в области зуба ручным методом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0,32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0,32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82,83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82,83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A16.07.025.001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Избирательное полирование зуба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51,77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51,77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A22.07.002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Ультразвуковое удаление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наддесневых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поддесневых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зубных отложений в области зуба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51,77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51,77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A16.07.030.001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Инструментальная и медикаментозная обработка хорошо проходимого корневого канала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238,12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238,12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A16.07.030.002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Инструментальная и медикаментозная обработка плохо проходимого корневого канала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442,60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442,60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A16.07.030.003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Временное пломбирование лекарственным препаратом корневого канала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129,42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129,42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A16.07.039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Закрытый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кюретаж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заболеваниях пародонта в области зуба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0,31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80,24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80,24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A16.07.082.001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Распломбировка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корневого канала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ранее леченного пастой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517,66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517,66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A16.07.082.002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Распломбировка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одного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корневого канала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ранее леченного фосфат-цементом/резорцин-формальдегидным методом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3,55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3,55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918,85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918,85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B01.067.001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врача - стоматолога-хирурга первичный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362,36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362,36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B01.067.002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врача - стоматолога-хирурга повторный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279,54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279,54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A11.03.003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Внутрикостное введение лекарственных препаратов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0,82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0,82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212,24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212,24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A15.03.007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Наложение шины при переломах костей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6,87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6,87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1778,16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1778,16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A15.03.011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Снятие шины с одной челюсти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1,43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1,43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370,13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370,13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A15.04.002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иммобилизационной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повязки при вывихах (подвывихах) суставов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2,55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2,55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660,02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660,02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A15.07.001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иммобилизационной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повязки при вывихах (подвывихах) зубов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766,14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766,14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Биопсия слизистой полости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297,65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297,65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Биопсия языка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297,65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297,65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Биопсия слизистой преддверия полости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297,65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297,65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Биопсия тканей губы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297,65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297,65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Пункция кисты полости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235,54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235,54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Бужирование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протоков слюнных желез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779,08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779,08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Пункция слюнной железы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235,54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235,54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Пункция тканей полости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235,54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235,54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Пункция языка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235,54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235,54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Биопсия слизистой ротоглотки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297,65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297,65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Пункция губы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235,54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235,54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Пункция патологического образования слизистой преддверия полости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235,54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235,54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A11.07.020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Биопсия слюнной железы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297,65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297,65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A15.01.003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Наложение повязки при операции в челюстно-лицевой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274,36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274,36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A15.07.002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Наложение повязки при операциях в полости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274,36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274,36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A16.01.004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Хирургическая обработка раны или инфицированной ткани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336,48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336,48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A16.01.008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Сшивание кожи и подкожной клетчатки</w:t>
            </w:r>
            <w:r>
              <w:rPr>
                <w:rFonts w:ascii="Times New Roman" w:hAnsi="Times New Roman" w:cs="Times New Roman"/>
                <w:sz w:val="28"/>
                <w:szCs w:val="24"/>
                <w:vertAlign w:val="superscript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217,42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217,42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A16.07.097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Наложение шва на слизистую оболочку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217,42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217,42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A16.01.012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Вскрытие и дренирование флегмоны (абсцесса)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517,66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517,66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A16.01.016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атеромы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2,33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603,07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603,07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A16.01.030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Иссечение грануляции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574,60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574,60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A16.04.018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Вправление вывиха сустава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A16.07.095.001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 луночного кровотечения без наложения швов методом тампонады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323,54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323,54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A16.07.095.002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 луночного кровотечения без наложения швов с использованием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гемостатических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A16.07.001.001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временного зуба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261,42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261,42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A16.07.001.002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постоянного зуба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401,19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401,19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A16.07.001.003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зуба сложное с разъединением корней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667,78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667,78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Операция удаления ретинированного,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дистопированного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сверхкомплектного зуба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776,49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776,49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Лоскутная операция в полости рта</w:t>
            </w:r>
            <w:r>
              <w:rPr>
                <w:rFonts w:ascii="Times New Roman" w:hAnsi="Times New Roman" w:cs="Times New Roman"/>
                <w:sz w:val="28"/>
                <w:szCs w:val="24"/>
                <w:vertAlign w:val="superscript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2,70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2,70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698,84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698,84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Резекция верхушки корня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3,78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3,78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978,38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978,38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Вскрытие подслизистого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поднадкостничного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очага воспаления в полости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Вскрытие и дренирование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одонтогенного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абсцесса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0,97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251,07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251,07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A16.07.013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Отсроченный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кюретаж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лунки удаленного зуба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266,59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266,59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Вскрытие и дренирование абсцесса полости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2,14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553,90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553,90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A16.07.015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Вскрытие и дренирование очага воспаления мягких тканей лица или дна полости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2,41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2,41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623,78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623,78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A16.07.016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Цистотомия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цистэктомия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3,89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3,89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1006,85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1006,85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A16.07.017.002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объема и формы альвеолярного отростка</w:t>
            </w:r>
            <w:r>
              <w:rPr>
                <w:rFonts w:ascii="Times New Roman" w:hAnsi="Times New Roman" w:cs="Times New Roman"/>
                <w:sz w:val="28"/>
                <w:szCs w:val="24"/>
                <w:vertAlign w:val="superscript"/>
              </w:rPr>
              <w:t xml:space="preserve">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315,77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315,77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A16.07.026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Гингивэктомия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1112,97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1112,97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A16.07.089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Гингивопластика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1112,97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1112,97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Открытый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кюретаж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заболеваниях пародонта в области зуба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Пластика уздечки верхней губы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543,54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543,54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A16.07.043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Пластика уздечки нижней губы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543,54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543,54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A16.07.044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Пластика уздечки языка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Пластика перфорации верхнечелюстной пазухи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1035,32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1035,32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A16.07.008.003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Закрытие перфорации стенки корневого канала зуба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465,89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465,89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Лечение перикоронита (промывание, рассечение и/или иссечение капюшона)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269,18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269,18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A16.07.059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Гемисекция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672,96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672,96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119.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Промывание протока слюнной железы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1,85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1,85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478,84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478,84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A16.22.012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Удаление камней из протоков слюнных желез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776,49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776,49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A16.30.064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Иссечение свища мягких тканей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582,37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582,37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A16.30.069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Снятие послеоперационных швов (лигатур)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98,36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98,36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B01.054.001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Осмотр (консультация) врача-физиотерапевта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388,25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388,25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A17.07.001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Электрофорез лекарственных препаратов при патологии полости рта и зубов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388,25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388,25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A17.07.003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Диатермокоагуляция при патологии полости рта и зубов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129,42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129,42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A17.07.004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Ионофорез при патологии полости рта и зубов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261,42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261,42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A17.07.006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Депофорез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корневого канала зуба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388,25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388,25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A17.07.007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Дарсонвализация при патологии полости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517,66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517,66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A17.07.008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Флюктуоризация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патологии полости рта и зубов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432,25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432,25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A17.07.009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Воздействие электрическими полями при патологии полости рта и зубов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A17.07.010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Воздействие токами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надтональной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частоты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ультратонотерапия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при патологии полости рта и зубов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A17.07.011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Воздействие токами ультравысокой частоты при патологии полости рта и зубов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323,54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323,54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A17.07.012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Ультравысокочастотная индуктотермия при патологии полости рта и зубов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323,54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323,54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A20.07.001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Гидроорошение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 заболевании полости рта и зубов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388,25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388,25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A21.07.001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Вакуум-терапия в стоматологии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0,68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0,68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176,00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176,00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A22.07.005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Ультрафиолетовое облучение ротоглотки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323,54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323,54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A22.07.007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Ультрафонофорез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лекарственных препаратов на область десен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6"/>
            <w:tcW w:w="8931" w:type="dxa"/>
            <w:textDirection w:val="lrTb"/>
            <w:noWrap w:val="false"/>
          </w:tcPr>
          <w:p>
            <w:pPr>
              <w:jc w:val="center"/>
              <w:spacing w:after="0"/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</w:rPr>
              <w:t xml:space="preserve">Ортодонтия</w:t>
            </w:r>
            <w:r/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139.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B01.063.001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врача-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ортодонта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первичный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4,21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1089,67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B01.063.002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Прием (осмотр, консультация) врача-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ортодонта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повторный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357,19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B04.063.001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Диспансерный прием (осмотр, консультация) врача-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ортодонта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1,69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437,42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A02.07.004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Антропометрические исследования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284,71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A23.07.002.027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контрольной модели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647,08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A02.07.010.001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Снятие оттиска с одной челюсти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1,40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362,36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145.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A02.07.010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на диагностических моделях челюстей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517,66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146.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A23.07.001.001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Коррекция съемного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ортодонтического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аппарата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452,95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147.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A23.07.003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Припасовка и наложение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ортодонтического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аппарата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1,80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465,89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A23.07.001.002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ортодонтического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аппарата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401,19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149.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A23.07.002.037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Починка перелома базиса самотвердеющей пластмассой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1,75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452,95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A23.07.002.045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дуги вестибулярной с дополнительными изгибами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3,85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996,50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A23.07.002.073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дуги вестибулярной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2,70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698,84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A23.07.002.051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кольца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ортодонтического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1035,32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A23.07.002.055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коронки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ортодонтической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1035,32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A23.07.002.058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пластинки вестибулярной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2,70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698,84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A23.07.002.059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пластинки с заслоном для языка без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кламмеров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647,08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A23.07.002.060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пластинки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окклюзионными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накладками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18,00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4658,94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A16.07.053.002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Распил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ортодонтического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аппарата через винт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158.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6"/>
            <w:tcW w:w="8931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Cs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Профилактические услуги</w:t>
            </w:r>
            <w:r>
              <w:rPr>
                <w:rFonts w:ascii="Times New Roman" w:hAnsi="Times New Roman" w:cs="Times New Roman"/>
                <w:szCs w:val="24"/>
              </w:rPr>
            </w:r>
            <w:r>
              <w:rPr>
                <w:rFonts w:ascii="Times New Roman" w:hAnsi="Times New Roman" w:cs="Times New Roman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159.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B04.064.002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прием (осмотр, консультация) врача-стоматолога детского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406,36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160.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B04.065.006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прием (осмотр, консультация) врача-стоматолога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336,48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406,36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161.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B04.065.002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прием (осмотр, консультация) врача - стоматолога-терапевта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336,48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162.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B04.065.004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Профилактический прием (осмотр, консультация) зубного врача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336,48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336,48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163.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A11.07.012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Глубокое фторирование эмали зубов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0,30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77,65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164.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A11.07.024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Местное применение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реминерализующих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препаратов в области зуба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0,70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0,70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181,18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181,18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A13.30.007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Обучение гигиене полости 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0,87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0,87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225,18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225,18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A16.07.057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Запечатывание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фиссуры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зуба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герметиком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shd w:val="clear" w:color="auto" w:fill="auto"/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gridSpan w:val="6"/>
            <w:shd w:val="clear" w:color="auto" w:fill="auto"/>
            <w:tcW w:w="8931" w:type="dxa"/>
            <w:textDirection w:val="lrTb"/>
            <w:noWrap w:val="false"/>
          </w:tcPr>
          <w:p>
            <w:pPr>
              <w:pStyle w:val="91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Times New Roman" w:cs="Times New Roman"/>
                <w:sz w:val="24"/>
              </w:rPr>
              <w:t xml:space="preserve">Анестезиология-реаниматология (дети)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B01.003.001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Осмотр (консультация) врачом-анестезиологом-реаниматологом первичный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1,50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388,25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B01.003.002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Осмотр (консультация) врачом-анестезиологом-реаниматологом повторный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258,83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85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70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985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B01.003.004.010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2271" w:type="dxa"/>
            <w:textDirection w:val="lrTb"/>
            <w:noWrap w:val="false"/>
          </w:tcPr>
          <w:p>
            <w:pPr>
              <w:pStyle w:val="91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Комбинированный эндотрахеальный наркоз (дети)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1" w:type="dxa"/>
            <w:textDirection w:val="lrTb"/>
            <w:noWrap w:val="false"/>
          </w:tcPr>
          <w:p>
            <w:pPr>
              <w:jc w:val="right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15,00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134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1276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</w:rPr>
              <w:t xml:space="preserve">3882,45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  <w:sectPr>
          <w:headerReference w:type="default" r:id="rId8"/>
          <w:headerReference w:type="first" r:id="rId9"/>
          <w:footnotePr/>
          <w:endnotePr>
            <w:numFmt w:val="decimal"/>
          </w:endnotePr>
          <w:type w:val="nextPage"/>
          <w:pgSz w:w="11905" w:h="16838" w:orient="portrait"/>
          <w:pgMar w:top="1134" w:right="850" w:bottom="1134" w:left="1701" w:header="0" w:footer="0" w:gutter="0"/>
          <w:cols w:num="1" w:sep="0" w:space="720" w:equalWidth="1"/>
          <w:docGrid w:linePitch="360"/>
          <w:titlePg/>
        </w:sect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3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3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2. Одного квадранта.</w:t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93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3. Включая полирование пломбы.</w:t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93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4</w:t>
      </w:r>
      <w:r>
        <w:rPr>
          <w:rFonts w:ascii="Times New Roman" w:hAnsi="Times New Roman" w:cs="Times New Roman"/>
          <w:szCs w:val="24"/>
        </w:rPr>
        <w:t xml:space="preserve">. Трёх зубов.</w:t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93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5</w:t>
      </w:r>
      <w:r>
        <w:rPr>
          <w:rFonts w:ascii="Times New Roman" w:hAnsi="Times New Roman" w:cs="Times New Roman"/>
          <w:szCs w:val="24"/>
        </w:rPr>
        <w:t xml:space="preserve">. Одного зуба.</w:t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93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6</w:t>
      </w:r>
      <w:r>
        <w:rPr>
          <w:rFonts w:ascii="Times New Roman" w:hAnsi="Times New Roman" w:cs="Times New Roman"/>
          <w:szCs w:val="24"/>
        </w:rPr>
        <w:t xml:space="preserve">. На одной челюсти.</w:t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93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7</w:t>
      </w:r>
      <w:r>
        <w:rPr>
          <w:rFonts w:ascii="Times New Roman" w:hAnsi="Times New Roman" w:cs="Times New Roman"/>
          <w:szCs w:val="24"/>
        </w:rPr>
        <w:t xml:space="preserve">. Без наложения швов.</w:t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93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8</w:t>
      </w:r>
      <w:r>
        <w:rPr>
          <w:rFonts w:ascii="Times New Roman" w:hAnsi="Times New Roman" w:cs="Times New Roman"/>
          <w:szCs w:val="24"/>
        </w:rPr>
        <w:t xml:space="preserve">. Один шов.</w:t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93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9</w:t>
      </w:r>
      <w:r>
        <w:rPr>
          <w:rFonts w:ascii="Times New Roman" w:hAnsi="Times New Roman" w:cs="Times New Roman"/>
          <w:szCs w:val="24"/>
        </w:rPr>
        <w:t xml:space="preserve">. В области двух-трёх зубов.</w:t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pStyle w:val="93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10</w:t>
      </w:r>
      <w:r>
        <w:rPr>
          <w:rFonts w:ascii="Times New Roman" w:hAnsi="Times New Roman" w:cs="Times New Roman"/>
          <w:szCs w:val="24"/>
        </w:rPr>
        <w:t xml:space="preserve">. В области одного-двух зубов.</w:t>
      </w:r>
      <w:r>
        <w:rPr>
          <w:rFonts w:ascii="Times New Roman" w:hAnsi="Times New Roman" w:cs="Times New Roman"/>
          <w:szCs w:val="24"/>
        </w:rPr>
      </w:r>
      <w:r>
        <w:rPr>
          <w:rFonts w:ascii="Times New Roman" w:hAnsi="Times New Roman" w:cs="Times New Roman"/>
          <w:szCs w:val="24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ИНСТРУКЦИЯ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 применению кодов стоматологических медицинских услуг в условных единицах трудоемкости (УЕТ) при оказании бесплатной стоматологической помощи взрослому и детскому населению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I. Общие положения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</w:r>
    </w:p>
    <w:p>
      <w:pPr>
        <w:jc w:val="right"/>
        <w:spacing w:after="0" w:line="240" w:lineRule="auto"/>
        <w:rPr>
          <w:rFonts w:ascii="Times New Roman" w:hAnsi="Times New Roman" w:cs="Times New Roman"/>
          <w:strike/>
          <w:color w:val="ff0000"/>
          <w:sz w:val="28"/>
          <w:szCs w:val="28"/>
        </w:rPr>
      </w:pPr>
      <w:r>
        <w:rPr>
          <w:rFonts w:ascii="Times New Roman" w:hAnsi="Times New Roman" w:cs="Times New Roman"/>
          <w:strike/>
          <w:color w:val="ff0000"/>
          <w:sz w:val="28"/>
          <w:szCs w:val="28"/>
        </w:rPr>
      </w:r>
      <w:r>
        <w:rPr>
          <w:rFonts w:ascii="Times New Roman" w:hAnsi="Times New Roman" w:cs="Times New Roman"/>
          <w:strike/>
          <w:color w:val="ff0000"/>
          <w:sz w:val="28"/>
          <w:szCs w:val="28"/>
        </w:rPr>
      </w:r>
      <w:r>
        <w:rPr>
          <w:rFonts w:ascii="Times New Roman" w:hAnsi="Times New Roman" w:cs="Times New Roman"/>
          <w:strike/>
          <w:color w:val="ff0000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 Среднее количество УЕТ в одной медицинской услуге, применяемое для обоснования объема и с</w:t>
      </w:r>
      <w:r>
        <w:rPr>
          <w:rFonts w:ascii="Times New Roman" w:hAnsi="Times New Roman" w:cs="Times New Roman"/>
          <w:bCs/>
          <w:sz w:val="28"/>
          <w:szCs w:val="28"/>
        </w:rPr>
        <w:t xml:space="preserve">тоимости посещений при оказании первичной медико-санитарной специализированной стоматологической помощи в амбулаторных условиях, (далее – Приложение) разработано Федеральным государственным бюджетным учреждением «Центральный научно-исследовательский инстит</w:t>
      </w:r>
      <w:r>
        <w:rPr>
          <w:rFonts w:ascii="Times New Roman" w:hAnsi="Times New Roman" w:cs="Times New Roman"/>
          <w:bCs/>
          <w:sz w:val="28"/>
          <w:szCs w:val="28"/>
        </w:rPr>
        <w:t xml:space="preserve">ут стоматологии и челюстно-лицевой хирургии» при участии Главного внештатного специалиста стоматолога Министерства здравоохранения Российской Федерации, ректора Московского государственного медико-стоматологического университета имени А.И. Евдокимова О.О. </w:t>
      </w:r>
      <w:r>
        <w:rPr>
          <w:rFonts w:ascii="Times New Roman" w:hAnsi="Times New Roman" w:cs="Times New Roman"/>
          <w:bCs/>
          <w:sz w:val="28"/>
          <w:szCs w:val="28"/>
        </w:rPr>
        <w:t xml:space="preserve">Янушевича</w:t>
      </w:r>
      <w:r>
        <w:rPr>
          <w:rFonts w:ascii="Times New Roman" w:hAnsi="Times New Roman" w:cs="Times New Roman"/>
          <w:bCs/>
          <w:sz w:val="28"/>
          <w:szCs w:val="28"/>
        </w:rPr>
        <w:t xml:space="preserve"> и утверждено Министерством здравоохранения РФ и Федеральным фондом ОМС для оплаты стоматологической помощи в амбулаторных условиях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: «Методические </w:t>
      </w:r>
      <w:hyperlink r:id="rId11" w:tooltip="consultantplus://offline/ref=DB9E46A34A4B7F7EDEACE6E14E690DE85E1CA59D3BF9C0B6436ECD2D33F4E71D61AB9D41DE4D851A53DB75A91142776C35721816ADD777FBq0TDG" w:history="1">
        <w:r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 xml:space="preserve">рекомендации</w:t>
        </w:r>
      </w:hyperlink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 способам оплаты медицинской помощи за счёт средств обязательного медицинского страхования».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Инструкция по применению Приложения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предусматривает унифицированный порядок использования кодов стоматологических медицинских услуг в УЕТ при оказании бесплатной стоматологической помощи взрослому и детскому населению в рамках территориальной программы обязательного медицинского страхования.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Случай лечения включает объем выполненных пациенту врачом-стоматологом ил</w:t>
      </w:r>
      <w:r>
        <w:rPr>
          <w:rFonts w:ascii="Times New Roman" w:hAnsi="Times New Roman" w:cs="Times New Roman"/>
          <w:bCs/>
          <w:sz w:val="28"/>
          <w:szCs w:val="28"/>
        </w:rPr>
        <w:t xml:space="preserve">и зубным врачом стоматологических медицинских услуг (в УЕТ) в одно посещение или обращение (несколько посещений) в стоматологическую поликлинику или в стоматологический кабинет по поводу установленного клинического диагноза в соответствии с кодом МКБ – 10.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  <w:outlineLvl w:val="0"/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</w:rPr>
        <w:outlineLvl w:val="0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II. Порядок применения кодов стоматологических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медицинских услуг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exac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 Коды, указанные в таблице 1, отражают медицинскую услугу, оказанную на приеме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 первом обращении пациента к врачу стоматологического профиля для лечения конкретного стоматологического заболевания и включает в себя сбор жалоб и анамнеза, осмотр полости рта, проведение объективного исследования (перкуссия, пальпация, зондирование, </w:t>
      </w:r>
      <w:r>
        <w:rPr>
          <w:rFonts w:ascii="Times New Roman" w:hAnsi="Times New Roman" w:cs="Times New Roman"/>
          <w:bCs/>
          <w:sz w:val="28"/>
          <w:szCs w:val="28"/>
        </w:rPr>
        <w:t xml:space="preserve">термодиагностика</w:t>
      </w:r>
      <w:r>
        <w:rPr>
          <w:rFonts w:ascii="Times New Roman" w:hAnsi="Times New Roman" w:cs="Times New Roman"/>
          <w:bCs/>
          <w:sz w:val="28"/>
          <w:szCs w:val="28"/>
        </w:rPr>
        <w:t xml:space="preserve">), предварительный или уточненный диагноз, трудозатраты на оформление медицинской документации.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Случай леч</w:t>
      </w:r>
      <w:r>
        <w:rPr>
          <w:rFonts w:ascii="Times New Roman" w:hAnsi="Times New Roman" w:cs="Times New Roman"/>
          <w:bCs/>
          <w:sz w:val="28"/>
          <w:szCs w:val="28"/>
        </w:rPr>
        <w:t xml:space="preserve">ения пациента в одно посещение, включающий в себя необходимый объем выполненных стоматологических медицинских услуг, классифицируется как разовое посещение в связи с заболеванием, единицей статистического учета которого является профилактическое посещение.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ab/>
        <w:t xml:space="preserve">Таблица 1</w:t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bCs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1867"/>
        <w:gridCol w:w="6662"/>
      </w:tblGrid>
      <w:tr>
        <w:tblPrEx/>
        <w:trPr>
          <w:trHeight w:val="240"/>
        </w:trPr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стр.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67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Код услуги в системе ОМС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2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стоматологической лечебно-диагностической услуги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vMerge w:val="continue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67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2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B01.064.003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(осмотр, консультация) врача-стоматолога детского первичный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B01.065.001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(осмотр, консультация) врача - стоматолога-терапевта первичный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B01.065.007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Прием (осмотр, консультация) врача-стоматолога первичный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B01.067.001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Прием (осмотр, консультация) врача - стоматолога-хирурга первичный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B01.065.003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Прием (осмотр, консультация) зубного врача первичный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B01.063.001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Прием (осмотр, консультация) врача-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ортодонта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первичный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B01.065.005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Прием (осмотр, консультация) гигиениста стоматологического первичный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5. Коды, указанные в таблиц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е 2, отражают медицинскую услугу, оказанную при повторном обращении пациента к врачу стоматологического профиля на прием для продолжения лечения стоматологического заболевания и включают в себя сбор жалоб, осмотр полости рта, проведение объективного исслед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ования, уточненный диагноз, трудозатраты на ведение медицинской документации. Кратность предоставления к оплате указанных кодов определяется алгоритмом лечения заболевания в соответствии с клиническими рекомендациями лечения и фактическим числом посещений.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Таблица 2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1867"/>
        <w:gridCol w:w="6662"/>
      </w:tblGrid>
      <w:tr>
        <w:tblPrEx/>
        <w:trPr>
          <w:trHeight w:val="240"/>
        </w:trPr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№ стр.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Код услуги в системе ОМС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стоматологической лечебно-диагностической услуги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vMerge w:val="continue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B01.064.004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Прием (осмотр, консультация) врача-стоматолога детского повторный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B01.065.002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Прием (осмотр, консультация) врача - стоматолога-терапевта повторный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B01.065.008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Прием (осмотр, консультация) врача-стоматолога повторный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B01.065.004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004 Прием (осмотр, консультация) зубного врача повторный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5.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B01.067.002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Прием (осмотр, консультация) врача - стоматолога-хирурга повторный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6.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B01.063.002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Прием (осмотр, консультация) врача-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ортодонта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повторный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7.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B01.065.006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Прием (осмотр, консультация) гигиениста стоматологического повторный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6. Коды, указанные в таблице 3, отражают медицинскую услугу, оказанную при самостоятельном обращении пациента к врачу стоматологического профиля или по направлению специалиста другого профиля с целью консультации без проведения лечебных мероприятий.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амбулаторной карте стоматологического больного должна быть отражена цель консультации, предварительный или уточненный диагноз по стоматологии, рекомендации по диагностике и лечению.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Профилактический прием детей, в том числе в организованном коллективе, проведенный в рамках профилактических медицинских осмотров несовершеннолетних, согласно </w:t>
      </w:r>
      <w:hyperlink r:id="rId12" w:tooltip="consultantplus://offline/ref=DB9E46A34A4B7F7EDEACE6E14E690DE85F12A69D35F5C0B6436ECD2D33F4E71D73ABC54DDF449B1B52CE23F857q1T4G" w:history="1">
        <w:r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 xml:space="preserve">приказа</w:t>
        </w:r>
      </w:hyperlink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министерства здравоохранения Российской Федерации от 14.05.2025 № 211н «Об утверждении порядка прохождения несовершеннолетними профилактических медицинских осмотров, учетной формы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030-ПО/у «Карта профилактического медицинского осмотра несовершеннолетнего», порядка ее ведения, а также формы отраслевого статистического наблюдения № 030-ПО/о «Сведения о профилактических медицинских осмотрах несовершеннолетних», порядка ее заполнения»,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отдельно к оплате не предъявляется. Взаиморасчеты осуществляются в рамках заключенных договоров (контрактов) в соответствии с действующим законодательством Российской Федерации с медицинскими организациями, проводящими данные профилактические мероприятия.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Таблица 3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1867"/>
        <w:gridCol w:w="6662"/>
      </w:tblGrid>
      <w:tr>
        <w:tblPrEx/>
        <w:trPr>
          <w:trHeight w:val="240"/>
        </w:trPr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№ стр.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Код услуги в системе ОМС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стоматологической лечебно-диагностической услуги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vMerge w:val="continue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B04.064.002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Профилактический прием (осмотр, консультация) врача-стоматолога детского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B04.065.002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Профилактический прием (осмотр, консультация) врача - стоматолога-терапевта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B04.065.006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Профилактический прием (осмотр, консультация) врача-стоматолога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B04.065.004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Профилактический прием (осмотр, консультация) зубного врача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7. Коды, указанны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е в таблице 4, используются на взрослом и детском приеме и отражают медицинскую услугу, оказанную при обращении пациента к врачу стоматологического профиля на прием для диспансерного наблюдения по поводу стоматологического заболевания и включают в себя сбо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 жалоб, осмотр полости рта, проведение объективного исследования, уточненный диагноз, трудозатраты на ведение медицинской документации. Кратность предоставления вышеперечисленных кодов к оплате определяется течением заболевания и медицинскими показаниями.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  <w:t xml:space="preserve">Таблица 4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1867"/>
        <w:gridCol w:w="6662"/>
      </w:tblGrid>
      <w:tr>
        <w:tblPrEx/>
        <w:trPr>
          <w:trHeight w:val="240"/>
        </w:trPr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№ стр.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Код услуги в системе ОМС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стоматологической лечебно-диагностической услуги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vMerge w:val="continue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B04.064.001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Диспансерный прием (осмотр, консультация) врача-стоматолога детского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B04.065.001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Диспансерный прием (осмотр, консультация) врача - стоматолога-терапевта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B04.065.005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Диспансерный прием (осмотр, консультация) врача-стоматолога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4.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1867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B04.065.003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662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Диспансерный прием (осмотр, консультация) зубного врача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8. Коды, указанные в табли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це 5, отражают вид анестезии и представляются к оплате совместно с кодами медицинских услуг, оказанных пациенту при лечении стоматологического заболевания. Кратность (за одно посещение) определяется лечащим врачом в соответствии с медицинскими показаниями.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left="7079"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Таблица 5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left="7079"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2150"/>
        <w:gridCol w:w="6379"/>
      </w:tblGrid>
      <w:tr>
        <w:tblPrEx/>
        <w:trPr>
          <w:trHeight w:val="240"/>
        </w:trPr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№ стр.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2150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Код услуги в системе ОМС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379" w:type="dxa"/>
            <w:vAlign w:val="center"/>
            <w:vMerge w:val="restart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Наименование стоматологической лечебно-диагностической услуги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vMerge w:val="continue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2150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2150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B01.003.004.002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379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Проводниковая анестезия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2150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B01.003.004.004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379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Аппликационная анестезия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pStyle w:val="918"/>
              <w:jc w:val="center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2150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B01.003.004.005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  <w:tc>
          <w:tcPr>
            <w:tcW w:w="6379" w:type="dxa"/>
            <w:textDirection w:val="lrTb"/>
            <w:noWrap w:val="false"/>
          </w:tcPr>
          <w:p>
            <w:pPr>
              <w:pStyle w:val="918"/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Инфильтрационная анестезия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зависимости от клинической картины, объема и длительности планируемого вмешательства, индивидуальных и половозрастных особенностей пациента, объем раствора анестетика одной ампулы (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карпулы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) может быть использован для проведения максимум четырех инъекций, как для обезболивания одного, так и нескольких зубов за один прием.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9. Код A06.30.002 - описание и интерпретация рентгенографических изображений - представляется к оплате однократно в одно пос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ещение независимо от количества выполненных в это посещение по медицинским показаниям рентгенологических исследований на разных этапах лечения, и предъявляется к оплате медицинской организацией при наличии в штатном расписании должности врача-рентгенолога.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10. Оказание стоматологической помощи детям в амбулаторных условиях по профилю «Анестезиолог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ия-реаниматология» осуществляется в ГБУЗ СК «Городская клиническая детская стоматологическая  поликлиника» города Ставрополя в соответствии с приказом министерства здравоохранения Ставропольского края от 12.08.2022 № 01-05/865 «О некоторых мерах по реализа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ции на территории Ставропольского края Порядка оказания медицинской помощи детям со стоматологическими заболеваниями, утвержденного приказом Министерства здравоохранения Российской Федерации от 13 ноября 2012 г. № 910н» с применением следующих кодов услуг: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4A0" w:firstRow="1" w:lastRow="0" w:firstColumn="1" w:lastColumn="0" w:noHBand="0" w:noVBand="1"/>
      </w:tblPr>
      <w:tblGrid>
        <w:gridCol w:w="680"/>
        <w:gridCol w:w="2150"/>
        <w:gridCol w:w="6379"/>
      </w:tblGrid>
      <w:tr>
        <w:tblPrEx/>
        <w:trPr>
          <w:trHeight w:val="240"/>
        </w:trPr>
        <w:tc>
          <w:tcPr>
            <w:tcW w:w="68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  <w:t xml:space="preserve">№ стр.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</w:p>
        </w:tc>
        <w:tc>
          <w:tcPr>
            <w:tcW w:w="21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  <w:t xml:space="preserve">Код услуги в системе ОМС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</w:p>
        </w:tc>
        <w:tc>
          <w:tcPr>
            <w:tcW w:w="637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  <w:t xml:space="preserve">Наименование стоматологической лечебно-диагностической услуги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vMerge w:val="continue"/>
            <w:textDirection w:val="lrTb"/>
            <w:noWrap w:val="false"/>
          </w:tcPr>
          <w:p>
            <w:pPr>
              <w:spacing w:after="0" w:line="240" w:lineRule="exact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</w:p>
        </w:tc>
        <w:tc>
          <w:tcPr>
            <w:tcW w:w="215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  <w:t xml:space="preserve">1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</w:p>
        </w:tc>
        <w:tc>
          <w:tcPr>
            <w:tcW w:w="6379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  <w:t xml:space="preserve">2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  <w:t xml:space="preserve">1.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</w:p>
        </w:tc>
        <w:tc>
          <w:tcPr>
            <w:tcW w:w="2150" w:type="dxa"/>
            <w:textDirection w:val="lrTb"/>
            <w:noWrap w:val="false"/>
          </w:tcPr>
          <w:p>
            <w:pPr>
              <w:spacing w:after="0" w:line="240" w:lineRule="exact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  <w:t xml:space="preserve">B01.003.001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</w:p>
        </w:tc>
        <w:tc>
          <w:tcPr>
            <w:tcW w:w="6379" w:type="dxa"/>
            <w:textDirection w:val="lrTb"/>
            <w:noWrap w:val="false"/>
          </w:tcPr>
          <w:p>
            <w:pPr>
              <w:spacing w:after="0" w:line="240" w:lineRule="exact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  <w:t xml:space="preserve">  Осмотр (консультация) врачом-анестезиологом-реаниматологом первичный (дети)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  <w:t xml:space="preserve">2.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</w:p>
        </w:tc>
        <w:tc>
          <w:tcPr>
            <w:tcW w:w="2150" w:type="dxa"/>
            <w:textDirection w:val="lrTb"/>
            <w:noWrap w:val="false"/>
          </w:tcPr>
          <w:p>
            <w:pPr>
              <w:spacing w:after="0" w:line="240" w:lineRule="exact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  <w:t xml:space="preserve">B01.003.002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</w:p>
        </w:tc>
        <w:tc>
          <w:tcPr>
            <w:tcW w:w="6379" w:type="dxa"/>
            <w:textDirection w:val="lrTb"/>
            <w:noWrap w:val="false"/>
          </w:tcPr>
          <w:p>
            <w:pPr>
              <w:spacing w:after="0" w:line="240" w:lineRule="exact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  <w:t xml:space="preserve">Осмотр (консультация) врачом-анестезиологом-реаниматологом повторный (дети)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</w:p>
        </w:tc>
      </w:tr>
      <w:tr>
        <w:tblPrEx/>
        <w:trPr/>
        <w:tc>
          <w:tcPr>
            <w:tcW w:w="680" w:type="dxa"/>
            <w:textDirection w:val="lrTb"/>
            <w:noWrap w:val="false"/>
          </w:tcPr>
          <w:p>
            <w:pPr>
              <w:jc w:val="center"/>
              <w:spacing w:after="0" w:line="240" w:lineRule="exact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  <w:t xml:space="preserve">3.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</w:p>
        </w:tc>
        <w:tc>
          <w:tcPr>
            <w:tcW w:w="2150" w:type="dxa"/>
            <w:textDirection w:val="lrTb"/>
            <w:noWrap w:val="false"/>
          </w:tcPr>
          <w:p>
            <w:pPr>
              <w:spacing w:after="0" w:line="240" w:lineRule="exact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  <w:t xml:space="preserve">B01.003.004.010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</w:p>
        </w:tc>
        <w:tc>
          <w:tcPr>
            <w:tcW w:w="6379" w:type="dxa"/>
            <w:textDirection w:val="lrTb"/>
            <w:noWrap w:val="false"/>
          </w:tcPr>
          <w:p>
            <w:pPr>
              <w:spacing w:after="0" w:line="240" w:lineRule="exact"/>
              <w:widowControl w:val="off"/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  <w:t xml:space="preserve">Комбинированный эндотрахеальный наркоз (дети)</w:t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cs="Times New Roman" w:eastAsiaTheme="minorEastAsia"/>
                <w:color w:val="000000" w:themeColor="text1"/>
                <w:sz w:val="28"/>
                <w:szCs w:val="28"/>
                <w:lang w:eastAsia="ru-RU"/>
              </w:rPr>
            </w:r>
          </w:p>
        </w:tc>
      </w:tr>
    </w:tbl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Медицинские услуги В01.003.001, В01.003.002, В01.003.004.010 оплачиваются только при их оказании в ГБУЗ СК «Городская клиническая детская стоматологическая поликлиника» города Ставрополя.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11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 При оказании медицинских услуг одному пациенту в одной медицинской организации по поводу одного заболевания разными врачами-стоматологами к оплате представляются услуги, оказанные каждым врачом-стоматологом, в соответствии с объемом проведенного лечения.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12. При лечении в одно посещение зубов с разными диагнозами к оплате представляются все услуги, оказанные врачом-стоматологом в данное посещение.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13. Физиотерапевтические и рентгенологические услуги, оказанные пациентам по направлениям стоматологов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других медицинских организаций, участвующих в системе ОМС, подлежат оплате из средств ОМС в рамках заключенных договоров (контрактов) в соответствии с действующим законодательством Российской Федерации, заключенными между этими медицинскими организациями.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14. Случай лечения пациента в два и более посещения, включающие в себя необходимый объем выполненных стоматологических медицинских услуг, классифици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руется как обращение в связи с заболеванием, единицей статистического учета которого является обращение в связи с заболеванием (кратность повторных посещений определяется алгоритмом лечения заболевания в соответствии с клиническими рекомендациями лечения).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15. Оплата стоматологической помощи в амбулаторных условиях по тарифам с учетом УЕТ должна быть основана на соб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людении принципа максимальной санации полости рта и зубов (лечение 2-х, 3-х зубов) за одно посещение, что является наиболее эффективным, так как сокращается время на вызов пациента, подготовку рабочего места, операционного поля, работу с документами и т.д.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p>
      <w:pPr>
        <w:ind w:firstLine="567"/>
        <w:jc w:val="both"/>
        <w:spacing w:after="0" w:line="240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16. Продолжительность рабочего времени для медицинских работников в зависимости от занимаемой должности или специальности регламентирована Постан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овлением Правительства Российской Федерации от 14.02.2003 № 101 «О продолжительности рабочего времени медицинских работников в зависимости от занимаемой ими должности и (или) специальности». За одну условную единицу трудоемкости (УЕТ) принимаются 10 минут.</w:t>
      </w:r>
      <w:r>
        <w:t xml:space="preserve">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 этом для учета случаев лечения обязательно используется следующее правило: один визит пациента является одним посещением.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»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.</w:t>
      </w:r>
      <w:bookmarkStart w:id="1" w:name="_GoBack"/>
      <w:r/>
      <w:bookmarkEnd w:id="1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</w:r>
    </w:p>
    <w:sectPr>
      <w:footnotePr/>
      <w:endnotePr>
        <w:numFmt w:val="decimal"/>
      </w:endnotePr>
      <w:type w:val="continuous"/>
      <w:pgSz w:w="11905" w:h="16838" w:orient="portrait"/>
      <w:pgMar w:top="1134" w:right="850" w:bottom="1134" w:left="1701" w:header="0" w:footer="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Tahoma">
    <w:panose1 w:val="020B0604030504040204"/>
  </w:font>
  <w:font w:name="Courier New">
    <w:panose1 w:val="02070309020205020404"/>
  </w:font>
  <w:font w:name="Arial">
    <w:panose1 w:val="020B06040202020202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918"/>
        <w:ind w:firstLine="540"/>
        <w:jc w:val="both"/>
        <w:spacing w:before="200"/>
        <w:rPr>
          <w:rFonts w:ascii="Times New Roman" w:hAnsi="Times New Roman" w:cs="Times New Roman"/>
          <w:sz w:val="24"/>
          <w:szCs w:val="24"/>
        </w:rPr>
      </w:pPr>
      <w:r>
        <w:rPr>
          <w:rStyle w:val="928"/>
          <w:rFonts w:ascii="Times New Roman" w:hAnsi="Times New Roman" w:cs="Times New Roman"/>
          <w:sz w:val="28"/>
        </w:rPr>
        <w:footnoteRef/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Тарифы на оплату стоматологической лечебно-диагностической услуги применяются с учётом нижеуказанной инструкции.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pStyle w:val="918"/>
        <w:jc w:val="both"/>
      </w:pPr>
      <w:r/>
      <w:r/>
    </w:p>
    <w:p>
      <w:pPr>
        <w:pStyle w:val="926"/>
      </w:pPr>
      <w:r/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-463197117"/>
      <w:docPartObj>
        <w:docPartGallery w:val="Page Numbers (Top of Page)"/>
        <w:docPartUnique w:val="true"/>
      </w:docPartObj>
      <w:rPr/>
    </w:sdtPr>
    <w:sdtContent>
      <w:p>
        <w:pPr>
          <w:pStyle w:val="929"/>
          <w:jc w:val="center"/>
        </w:pPr>
        <w:r/>
        <w:r/>
      </w:p>
      <w:p>
        <w:pPr>
          <w:pStyle w:val="929"/>
          <w:jc w:val="center"/>
        </w:pPr>
        <w:r/>
        <w:r/>
      </w:p>
      <w:p>
        <w:pPr>
          <w:pStyle w:val="929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</w:rPr>
          <w:t xml:space="preserve"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  <w:r>
          <w:rPr>
            <w:rFonts w:ascii="Times New Roman" w:hAnsi="Times New Roman" w:cs="Times New Roman"/>
            <w:sz w:val="28"/>
            <w:szCs w:val="28"/>
          </w:rPr>
        </w:r>
        <w:r>
          <w:rPr>
            <w:rFonts w:ascii="Times New Roman" w:hAnsi="Times New Roman" w:cs="Times New Roman"/>
            <w:sz w:val="28"/>
            <w:szCs w:val="28"/>
          </w:rPr>
        </w:r>
      </w:p>
    </w:sdtContent>
  </w:sdt>
  <w:p>
    <w:pPr>
      <w:pStyle w:val="92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673144141"/>
      <w:docPartObj>
        <w:docPartGallery w:val="Page Numbers (Top of Page)"/>
        <w:docPartUnique w:val="true"/>
      </w:docPartObj>
      <w:rPr/>
    </w:sdtPr>
    <w:sdtContent>
      <w:p>
        <w:pPr>
          <w:pStyle w:val="929"/>
          <w:jc w:val="center"/>
        </w:pPr>
        <w:r/>
        <w:r/>
      </w:p>
    </w:sdtContent>
  </w:sdt>
  <w:p>
    <w:pPr>
      <w:pStyle w:val="929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sectEnd"/>
    <w:numFmt w:val="decimal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8">
    <w:name w:val="Heading 1 Char"/>
    <w:basedOn w:val="752"/>
    <w:link w:val="743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729">
    <w:name w:val="Heading 2 Char"/>
    <w:basedOn w:val="752"/>
    <w:link w:val="744"/>
    <w:uiPriority w:val="9"/>
    <w:rPr>
      <w:rFonts w:ascii="Liberation Sans" w:hAnsi="Liberation Sans" w:eastAsia="Liberation Sans" w:cs="Liberation Sans"/>
      <w:sz w:val="34"/>
    </w:rPr>
  </w:style>
  <w:style w:type="character" w:styleId="730">
    <w:name w:val="Heading 3 Char"/>
    <w:basedOn w:val="752"/>
    <w:link w:val="745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731">
    <w:name w:val="Heading 4 Char"/>
    <w:basedOn w:val="752"/>
    <w:link w:val="746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732">
    <w:name w:val="Heading 5 Char"/>
    <w:basedOn w:val="752"/>
    <w:link w:val="747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733">
    <w:name w:val="Heading 6 Char"/>
    <w:basedOn w:val="752"/>
    <w:link w:val="748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734">
    <w:name w:val="Heading 7 Char"/>
    <w:basedOn w:val="752"/>
    <w:link w:val="749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735">
    <w:name w:val="Heading 8 Char"/>
    <w:basedOn w:val="752"/>
    <w:link w:val="750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736">
    <w:name w:val="Heading 9 Char"/>
    <w:basedOn w:val="752"/>
    <w:link w:val="75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737">
    <w:name w:val="Title Char"/>
    <w:basedOn w:val="752"/>
    <w:link w:val="766"/>
    <w:uiPriority w:val="10"/>
    <w:rPr>
      <w:sz w:val="48"/>
      <w:szCs w:val="48"/>
    </w:rPr>
  </w:style>
  <w:style w:type="character" w:styleId="738">
    <w:name w:val="Subtitle Char"/>
    <w:basedOn w:val="752"/>
    <w:link w:val="768"/>
    <w:uiPriority w:val="11"/>
    <w:rPr>
      <w:sz w:val="24"/>
      <w:szCs w:val="24"/>
    </w:rPr>
  </w:style>
  <w:style w:type="character" w:styleId="739">
    <w:name w:val="Quote Char"/>
    <w:link w:val="770"/>
    <w:uiPriority w:val="29"/>
    <w:rPr>
      <w:i/>
    </w:rPr>
  </w:style>
  <w:style w:type="character" w:styleId="740">
    <w:name w:val="Intense Quote Char"/>
    <w:link w:val="772"/>
    <w:uiPriority w:val="30"/>
    <w:rPr>
      <w:i/>
    </w:rPr>
  </w:style>
  <w:style w:type="character" w:styleId="741">
    <w:name w:val="Caption Char"/>
    <w:basedOn w:val="752"/>
    <w:link w:val="776"/>
    <w:uiPriority w:val="35"/>
    <w:rPr>
      <w:b/>
      <w:bCs/>
      <w:color w:val="4f81bd" w:themeColor="accent1"/>
      <w:sz w:val="18"/>
      <w:szCs w:val="18"/>
    </w:rPr>
  </w:style>
  <w:style w:type="paragraph" w:styleId="742" w:default="1">
    <w:name w:val="Normal"/>
    <w:qFormat/>
  </w:style>
  <w:style w:type="paragraph" w:styleId="743">
    <w:name w:val="Heading 1"/>
    <w:basedOn w:val="742"/>
    <w:next w:val="742"/>
    <w:link w:val="7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44">
    <w:name w:val="Heading 2"/>
    <w:basedOn w:val="742"/>
    <w:next w:val="742"/>
    <w:link w:val="7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45">
    <w:name w:val="Heading 3"/>
    <w:basedOn w:val="742"/>
    <w:next w:val="742"/>
    <w:link w:val="75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6">
    <w:name w:val="Heading 4"/>
    <w:basedOn w:val="742"/>
    <w:next w:val="742"/>
    <w:link w:val="75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7">
    <w:name w:val="Heading 5"/>
    <w:basedOn w:val="742"/>
    <w:next w:val="742"/>
    <w:link w:val="75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8">
    <w:name w:val="Heading 6"/>
    <w:basedOn w:val="742"/>
    <w:next w:val="742"/>
    <w:link w:val="76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749">
    <w:name w:val="Heading 7"/>
    <w:basedOn w:val="742"/>
    <w:next w:val="742"/>
    <w:link w:val="76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750">
    <w:name w:val="Heading 8"/>
    <w:basedOn w:val="742"/>
    <w:next w:val="742"/>
    <w:link w:val="76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751">
    <w:name w:val="Heading 9"/>
    <w:basedOn w:val="742"/>
    <w:next w:val="742"/>
    <w:link w:val="76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52" w:default="1">
    <w:name w:val="Default Paragraph Font"/>
    <w:uiPriority w:val="1"/>
    <w:semiHidden/>
    <w:unhideWhenUsed/>
  </w:style>
  <w:style w:type="table" w:styleId="7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4" w:default="1">
    <w:name w:val="No List"/>
    <w:uiPriority w:val="99"/>
    <w:semiHidden/>
    <w:unhideWhenUsed/>
  </w:style>
  <w:style w:type="character" w:styleId="755" w:customStyle="1">
    <w:name w:val="Заголовок 1 Знак"/>
    <w:basedOn w:val="752"/>
    <w:link w:val="743"/>
    <w:uiPriority w:val="9"/>
    <w:rPr>
      <w:rFonts w:ascii="Arial" w:hAnsi="Arial" w:eastAsia="Arial" w:cs="Arial"/>
      <w:sz w:val="40"/>
      <w:szCs w:val="40"/>
    </w:rPr>
  </w:style>
  <w:style w:type="character" w:styleId="756" w:customStyle="1">
    <w:name w:val="Заголовок 2 Знак"/>
    <w:basedOn w:val="752"/>
    <w:link w:val="744"/>
    <w:uiPriority w:val="9"/>
    <w:rPr>
      <w:rFonts w:ascii="Arial" w:hAnsi="Arial" w:eastAsia="Arial" w:cs="Arial"/>
      <w:sz w:val="34"/>
    </w:rPr>
  </w:style>
  <w:style w:type="character" w:styleId="757" w:customStyle="1">
    <w:name w:val="Заголовок 3 Знак"/>
    <w:basedOn w:val="752"/>
    <w:link w:val="745"/>
    <w:uiPriority w:val="9"/>
    <w:rPr>
      <w:rFonts w:ascii="Arial" w:hAnsi="Arial" w:eastAsia="Arial" w:cs="Arial"/>
      <w:sz w:val="30"/>
      <w:szCs w:val="30"/>
    </w:rPr>
  </w:style>
  <w:style w:type="character" w:styleId="758" w:customStyle="1">
    <w:name w:val="Заголовок 4 Знак"/>
    <w:basedOn w:val="752"/>
    <w:link w:val="746"/>
    <w:uiPriority w:val="9"/>
    <w:rPr>
      <w:rFonts w:ascii="Arial" w:hAnsi="Arial" w:eastAsia="Arial" w:cs="Arial"/>
      <w:b/>
      <w:bCs/>
      <w:sz w:val="26"/>
      <w:szCs w:val="26"/>
    </w:rPr>
  </w:style>
  <w:style w:type="character" w:styleId="759" w:customStyle="1">
    <w:name w:val="Заголовок 5 Знак"/>
    <w:basedOn w:val="752"/>
    <w:link w:val="747"/>
    <w:uiPriority w:val="9"/>
    <w:rPr>
      <w:rFonts w:ascii="Arial" w:hAnsi="Arial" w:eastAsia="Arial" w:cs="Arial"/>
      <w:b/>
      <w:bCs/>
      <w:sz w:val="24"/>
      <w:szCs w:val="24"/>
    </w:rPr>
  </w:style>
  <w:style w:type="character" w:styleId="760" w:customStyle="1">
    <w:name w:val="Заголовок 6 Знак"/>
    <w:basedOn w:val="752"/>
    <w:link w:val="748"/>
    <w:uiPriority w:val="9"/>
    <w:rPr>
      <w:rFonts w:ascii="Arial" w:hAnsi="Arial" w:eastAsia="Arial" w:cs="Arial"/>
      <w:b/>
      <w:bCs/>
      <w:sz w:val="22"/>
      <w:szCs w:val="22"/>
    </w:rPr>
  </w:style>
  <w:style w:type="character" w:styleId="761" w:customStyle="1">
    <w:name w:val="Заголовок 7 Знак"/>
    <w:basedOn w:val="752"/>
    <w:link w:val="74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62" w:customStyle="1">
    <w:name w:val="Заголовок 8 Знак"/>
    <w:basedOn w:val="752"/>
    <w:link w:val="750"/>
    <w:uiPriority w:val="9"/>
    <w:rPr>
      <w:rFonts w:ascii="Arial" w:hAnsi="Arial" w:eastAsia="Arial" w:cs="Arial"/>
      <w:i/>
      <w:iCs/>
      <w:sz w:val="22"/>
      <w:szCs w:val="22"/>
    </w:rPr>
  </w:style>
  <w:style w:type="character" w:styleId="763" w:customStyle="1">
    <w:name w:val="Заголовок 9 Знак"/>
    <w:basedOn w:val="752"/>
    <w:link w:val="751"/>
    <w:uiPriority w:val="9"/>
    <w:rPr>
      <w:rFonts w:ascii="Arial" w:hAnsi="Arial" w:eastAsia="Arial" w:cs="Arial"/>
      <w:i/>
      <w:iCs/>
      <w:sz w:val="21"/>
      <w:szCs w:val="21"/>
    </w:rPr>
  </w:style>
  <w:style w:type="paragraph" w:styleId="764">
    <w:name w:val="List Paragraph"/>
    <w:basedOn w:val="742"/>
    <w:uiPriority w:val="34"/>
    <w:qFormat/>
    <w:pPr>
      <w:contextualSpacing/>
      <w:ind w:left="720"/>
    </w:pPr>
  </w:style>
  <w:style w:type="paragraph" w:styleId="765">
    <w:name w:val="No Spacing"/>
    <w:uiPriority w:val="1"/>
    <w:qFormat/>
    <w:pPr>
      <w:spacing w:after="0" w:line="240" w:lineRule="auto"/>
    </w:pPr>
  </w:style>
  <w:style w:type="paragraph" w:styleId="766">
    <w:name w:val="Title"/>
    <w:basedOn w:val="742"/>
    <w:next w:val="742"/>
    <w:link w:val="76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7" w:customStyle="1">
    <w:name w:val="Название Знак"/>
    <w:basedOn w:val="752"/>
    <w:link w:val="766"/>
    <w:uiPriority w:val="10"/>
    <w:rPr>
      <w:sz w:val="48"/>
      <w:szCs w:val="48"/>
    </w:rPr>
  </w:style>
  <w:style w:type="paragraph" w:styleId="768">
    <w:name w:val="Subtitle"/>
    <w:basedOn w:val="742"/>
    <w:next w:val="742"/>
    <w:link w:val="769"/>
    <w:uiPriority w:val="11"/>
    <w:qFormat/>
    <w:pPr>
      <w:spacing w:before="200" w:after="200"/>
    </w:pPr>
    <w:rPr>
      <w:sz w:val="24"/>
      <w:szCs w:val="24"/>
    </w:rPr>
  </w:style>
  <w:style w:type="character" w:styleId="769" w:customStyle="1">
    <w:name w:val="Подзаголовок Знак"/>
    <w:basedOn w:val="752"/>
    <w:link w:val="768"/>
    <w:uiPriority w:val="11"/>
    <w:rPr>
      <w:sz w:val="24"/>
      <w:szCs w:val="24"/>
    </w:rPr>
  </w:style>
  <w:style w:type="paragraph" w:styleId="770">
    <w:name w:val="Quote"/>
    <w:basedOn w:val="742"/>
    <w:next w:val="742"/>
    <w:link w:val="771"/>
    <w:uiPriority w:val="29"/>
    <w:qFormat/>
    <w:pPr>
      <w:ind w:left="720" w:right="720"/>
    </w:pPr>
    <w:rPr>
      <w:i/>
    </w:rPr>
  </w:style>
  <w:style w:type="character" w:styleId="771" w:customStyle="1">
    <w:name w:val="Цитата 2 Знак"/>
    <w:link w:val="770"/>
    <w:uiPriority w:val="29"/>
    <w:rPr>
      <w:i/>
    </w:rPr>
  </w:style>
  <w:style w:type="paragraph" w:styleId="772">
    <w:name w:val="Intense Quote"/>
    <w:basedOn w:val="742"/>
    <w:next w:val="742"/>
    <w:link w:val="773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73" w:customStyle="1">
    <w:name w:val="Выделенная цитата Знак"/>
    <w:link w:val="772"/>
    <w:uiPriority w:val="30"/>
    <w:rPr>
      <w:i/>
    </w:rPr>
  </w:style>
  <w:style w:type="character" w:styleId="774" w:customStyle="1">
    <w:name w:val="Header Char"/>
    <w:basedOn w:val="752"/>
    <w:uiPriority w:val="99"/>
  </w:style>
  <w:style w:type="character" w:styleId="775" w:customStyle="1">
    <w:name w:val="Footer Char"/>
    <w:basedOn w:val="752"/>
    <w:uiPriority w:val="99"/>
  </w:style>
  <w:style w:type="paragraph" w:styleId="776">
    <w:name w:val="Caption"/>
    <w:basedOn w:val="742"/>
    <w:next w:val="742"/>
    <w:link w:val="777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77" w:customStyle="1">
    <w:name w:val="Название объекта Знак"/>
    <w:basedOn w:val="752"/>
    <w:link w:val="776"/>
    <w:uiPriority w:val="35"/>
    <w:rPr>
      <w:b/>
      <w:bCs/>
      <w:color w:val="5b9bd5" w:themeColor="accent1"/>
      <w:sz w:val="18"/>
      <w:szCs w:val="18"/>
    </w:rPr>
  </w:style>
  <w:style w:type="table" w:styleId="778">
    <w:name w:val="Table Grid"/>
    <w:basedOn w:val="75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9" w:customStyle="1">
    <w:name w:val="Table Grid Light"/>
    <w:basedOn w:val="75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80">
    <w:name w:val="Plain Table 1"/>
    <w:basedOn w:val="75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1">
    <w:name w:val="Plain Table 2"/>
    <w:basedOn w:val="75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82">
    <w:name w:val="Plain Table 3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3">
    <w:name w:val="Plain Table 4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Plain Table 5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5">
    <w:name w:val="Grid Table 1 Light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Grid Table 1 Light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Grid Table 1 Light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Grid Table 1 Light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Grid Table 1 Light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Grid Table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2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2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2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3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Grid Table 3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Grid Table 3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Grid Table 4"/>
    <w:basedOn w:val="7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7" w:customStyle="1">
    <w:name w:val="Grid Table 4 - Accent 1"/>
    <w:basedOn w:val="7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08" w:customStyle="1">
    <w:name w:val="Grid Table 4 - Accent 2"/>
    <w:basedOn w:val="7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9" w:customStyle="1">
    <w:name w:val="Grid Table 4 - Accent 3"/>
    <w:basedOn w:val="7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10" w:customStyle="1">
    <w:name w:val="Grid Table 4 - Accent 4"/>
    <w:basedOn w:val="7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11" w:customStyle="1">
    <w:name w:val="Grid Table 4 - Accent 5"/>
    <w:basedOn w:val="7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12" w:customStyle="1">
    <w:name w:val="Grid Table 4 - Accent 6"/>
    <w:basedOn w:val="75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13">
    <w:name w:val="Grid Table 5 Dark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17" w:customStyle="1">
    <w:name w:val="Grid Table 5 Dark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8" w:customStyle="1">
    <w:name w:val="Grid Table 5 Dark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9" w:customStyle="1">
    <w:name w:val="Grid Table 5 Dark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20">
    <w:name w:val="Grid Table 6 Colorful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21" w:customStyle="1">
    <w:name w:val="Grid Table 6 Colorful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22" w:customStyle="1">
    <w:name w:val="Grid Table 6 Colorful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23" w:customStyle="1">
    <w:name w:val="Grid Table 6 Colorful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24" w:customStyle="1">
    <w:name w:val="Grid Table 6 Colorful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25" w:customStyle="1">
    <w:name w:val="Grid Table 6 Colorful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6" w:customStyle="1">
    <w:name w:val="Grid Table 6 Colorful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7">
    <w:name w:val="Grid Table 7 Colorful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7 Colorful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Grid Table 7 Colorful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Grid Table 7 Colorful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Grid Table 7 Colorful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List Table 1 Light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1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2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3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 w:customStyle="1">
    <w:name w:val="List Table 1 Light - Accent 4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9" w:customStyle="1">
    <w:name w:val="List Table 1 Light - Accent 5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0" w:customStyle="1">
    <w:name w:val="List Table 1 Light - Accent 6"/>
    <w:basedOn w:val="75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1">
    <w:name w:val="List Table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44" w:customStyle="1">
    <w:name w:val="List Table 2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45" w:customStyle="1">
    <w:name w:val="List Table 2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46" w:customStyle="1">
    <w:name w:val="List Table 2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47" w:customStyle="1">
    <w:name w:val="List Table 2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8">
    <w:name w:val="List Table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3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3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3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3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>
    <w:name w:val="List Table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4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 w:customStyle="1">
    <w:name w:val="List Table 4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0" w:customStyle="1">
    <w:name w:val="List Table 4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1" w:customStyle="1">
    <w:name w:val="List Table 4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List Table 5 Dark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 w:customStyle="1">
    <w:name w:val="List Table 5 Dark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5" w:customStyle="1">
    <w:name w:val="List Table 5 Dark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6" w:customStyle="1">
    <w:name w:val="List Table 5 Dark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7" w:customStyle="1">
    <w:name w:val="List Table 5 Dark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8" w:customStyle="1">
    <w:name w:val="List Table 5 Dark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9">
    <w:name w:val="List Table 6 Colorful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70" w:customStyle="1">
    <w:name w:val="List Table 6 Colorful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71" w:customStyle="1">
    <w:name w:val="List Table 6 Colorful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72" w:customStyle="1">
    <w:name w:val="List Table 6 Colorful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73" w:customStyle="1">
    <w:name w:val="List Table 6 Colorful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74" w:customStyle="1">
    <w:name w:val="List Table 6 Colorful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75" w:customStyle="1">
    <w:name w:val="List Table 6 Colorful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76">
    <w:name w:val="List Table 7 Colorful"/>
    <w:basedOn w:val="7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7 Colorful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7 Colorful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st Table 7 Colorful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List Table 7 Colorful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List Table 7 Colorful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Lined - Accent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4" w:customStyle="1">
    <w:name w:val="Lined - Accent 1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5" w:customStyle="1">
    <w:name w:val="Lined - Accent 2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6" w:customStyle="1">
    <w:name w:val="Lined - Accent 3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7" w:customStyle="1">
    <w:name w:val="Lined - Accent 4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8" w:customStyle="1">
    <w:name w:val="Lined - Accent 5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9" w:customStyle="1">
    <w:name w:val="Lined - Accent 6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0" w:customStyle="1">
    <w:name w:val="Bordered &amp; Lined - Accent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91" w:customStyle="1">
    <w:name w:val="Bordered &amp; Lined - Accent 1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92" w:customStyle="1">
    <w:name w:val="Bordered &amp; Lined - Accent 2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93" w:customStyle="1">
    <w:name w:val="Bordered &amp; Lined - Accent 3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94" w:customStyle="1">
    <w:name w:val="Bordered &amp; Lined - Accent 4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95" w:customStyle="1">
    <w:name w:val="Bordered &amp; Lined - Accent 5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6" w:customStyle="1">
    <w:name w:val="Bordered &amp; Lined - Accent 6"/>
    <w:basedOn w:val="753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7" w:customStyle="1">
    <w:name w:val="Bordered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8" w:customStyle="1">
    <w:name w:val="Bordered - Accent 1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9" w:customStyle="1">
    <w:name w:val="Bordered - Accent 2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00" w:customStyle="1">
    <w:name w:val="Bordered - Accent 3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01" w:customStyle="1">
    <w:name w:val="Bordered - Accent 4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02" w:customStyle="1">
    <w:name w:val="Bordered - Accent 5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03" w:customStyle="1">
    <w:name w:val="Bordered - Accent 6"/>
    <w:basedOn w:val="75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904">
    <w:name w:val="Hyperlink"/>
    <w:uiPriority w:val="99"/>
    <w:unhideWhenUsed/>
    <w:rPr>
      <w:color w:val="0563c1" w:themeColor="hyperlink"/>
      <w:u w:val="single"/>
    </w:rPr>
  </w:style>
  <w:style w:type="character" w:styleId="905" w:customStyle="1">
    <w:name w:val="Footnote Text Char"/>
    <w:uiPriority w:val="99"/>
    <w:rPr>
      <w:sz w:val="18"/>
    </w:rPr>
  </w:style>
  <w:style w:type="character" w:styleId="906" w:customStyle="1">
    <w:name w:val="Endnote Text Char"/>
    <w:uiPriority w:val="99"/>
    <w:rPr>
      <w:sz w:val="20"/>
    </w:rPr>
  </w:style>
  <w:style w:type="paragraph" w:styleId="907">
    <w:name w:val="toc 1"/>
    <w:basedOn w:val="742"/>
    <w:next w:val="742"/>
    <w:uiPriority w:val="39"/>
    <w:unhideWhenUsed/>
    <w:pPr>
      <w:spacing w:after="57"/>
    </w:pPr>
  </w:style>
  <w:style w:type="paragraph" w:styleId="908">
    <w:name w:val="toc 2"/>
    <w:basedOn w:val="742"/>
    <w:next w:val="742"/>
    <w:uiPriority w:val="39"/>
    <w:unhideWhenUsed/>
    <w:pPr>
      <w:ind w:left="283"/>
      <w:spacing w:after="57"/>
    </w:pPr>
  </w:style>
  <w:style w:type="paragraph" w:styleId="909">
    <w:name w:val="toc 3"/>
    <w:basedOn w:val="742"/>
    <w:next w:val="742"/>
    <w:uiPriority w:val="39"/>
    <w:unhideWhenUsed/>
    <w:pPr>
      <w:ind w:left="567"/>
      <w:spacing w:after="57"/>
    </w:pPr>
  </w:style>
  <w:style w:type="paragraph" w:styleId="910">
    <w:name w:val="toc 4"/>
    <w:basedOn w:val="742"/>
    <w:next w:val="742"/>
    <w:uiPriority w:val="39"/>
    <w:unhideWhenUsed/>
    <w:pPr>
      <w:ind w:left="850"/>
      <w:spacing w:after="57"/>
    </w:pPr>
  </w:style>
  <w:style w:type="paragraph" w:styleId="911">
    <w:name w:val="toc 5"/>
    <w:basedOn w:val="742"/>
    <w:next w:val="742"/>
    <w:uiPriority w:val="39"/>
    <w:unhideWhenUsed/>
    <w:pPr>
      <w:ind w:left="1134"/>
      <w:spacing w:after="57"/>
    </w:pPr>
  </w:style>
  <w:style w:type="paragraph" w:styleId="912">
    <w:name w:val="toc 6"/>
    <w:basedOn w:val="742"/>
    <w:next w:val="742"/>
    <w:uiPriority w:val="39"/>
    <w:unhideWhenUsed/>
    <w:pPr>
      <w:ind w:left="1417"/>
      <w:spacing w:after="57"/>
    </w:pPr>
  </w:style>
  <w:style w:type="paragraph" w:styleId="913">
    <w:name w:val="toc 7"/>
    <w:basedOn w:val="742"/>
    <w:next w:val="742"/>
    <w:uiPriority w:val="39"/>
    <w:unhideWhenUsed/>
    <w:pPr>
      <w:ind w:left="1701"/>
      <w:spacing w:after="57"/>
    </w:pPr>
  </w:style>
  <w:style w:type="paragraph" w:styleId="914">
    <w:name w:val="toc 8"/>
    <w:basedOn w:val="742"/>
    <w:next w:val="742"/>
    <w:uiPriority w:val="39"/>
    <w:unhideWhenUsed/>
    <w:pPr>
      <w:ind w:left="1984"/>
      <w:spacing w:after="57"/>
    </w:pPr>
  </w:style>
  <w:style w:type="paragraph" w:styleId="915">
    <w:name w:val="toc 9"/>
    <w:basedOn w:val="742"/>
    <w:next w:val="742"/>
    <w:uiPriority w:val="39"/>
    <w:unhideWhenUsed/>
    <w:pPr>
      <w:ind w:left="2268"/>
      <w:spacing w:after="57"/>
    </w:pPr>
  </w:style>
  <w:style w:type="paragraph" w:styleId="916">
    <w:name w:val="TOC Heading"/>
    <w:uiPriority w:val="39"/>
    <w:unhideWhenUsed/>
  </w:style>
  <w:style w:type="paragraph" w:styleId="917">
    <w:name w:val="table of figures"/>
    <w:basedOn w:val="742"/>
    <w:next w:val="742"/>
    <w:uiPriority w:val="99"/>
    <w:unhideWhenUsed/>
    <w:pPr>
      <w:spacing w:after="0"/>
    </w:pPr>
  </w:style>
  <w:style w:type="paragraph" w:styleId="918" w:customStyle="1">
    <w:name w:val="ConsPlusNormal"/>
    <w:pPr>
      <w:spacing w:after="0" w:line="240" w:lineRule="auto"/>
      <w:widowControl w:val="off"/>
    </w:pPr>
    <w:rPr>
      <w:rFonts w:ascii="Arial" w:hAnsi="Arial" w:cs="Arial" w:eastAsiaTheme="minorEastAsia"/>
      <w:sz w:val="20"/>
      <w:lang w:eastAsia="ru-RU"/>
    </w:rPr>
  </w:style>
  <w:style w:type="paragraph" w:styleId="919" w:customStyle="1">
    <w:name w:val="ConsPlusNonformat"/>
    <w:pPr>
      <w:spacing w:after="0" w:line="240" w:lineRule="auto"/>
      <w:widowControl w:val="off"/>
    </w:pPr>
    <w:rPr>
      <w:rFonts w:ascii="Courier New" w:hAnsi="Courier New" w:cs="Courier New" w:eastAsiaTheme="minorEastAsia"/>
      <w:sz w:val="20"/>
      <w:lang w:eastAsia="ru-RU"/>
    </w:rPr>
  </w:style>
  <w:style w:type="paragraph" w:styleId="920" w:customStyle="1">
    <w:name w:val="ConsPlusTitle"/>
    <w:pPr>
      <w:spacing w:after="0" w:line="240" w:lineRule="auto"/>
      <w:widowControl w:val="off"/>
    </w:pPr>
    <w:rPr>
      <w:rFonts w:ascii="Arial" w:hAnsi="Arial" w:cs="Arial" w:eastAsiaTheme="minorEastAsia"/>
      <w:b/>
      <w:sz w:val="20"/>
      <w:lang w:eastAsia="ru-RU"/>
    </w:rPr>
  </w:style>
  <w:style w:type="paragraph" w:styleId="921" w:customStyle="1">
    <w:name w:val="ConsPlusCell"/>
    <w:pPr>
      <w:spacing w:after="0" w:line="240" w:lineRule="auto"/>
      <w:widowControl w:val="off"/>
    </w:pPr>
    <w:rPr>
      <w:rFonts w:ascii="Courier New" w:hAnsi="Courier New" w:cs="Courier New" w:eastAsiaTheme="minorEastAsia"/>
      <w:sz w:val="20"/>
      <w:lang w:eastAsia="ru-RU"/>
    </w:rPr>
  </w:style>
  <w:style w:type="paragraph" w:styleId="922" w:customStyle="1">
    <w:name w:val="ConsPlusDocList"/>
    <w:pPr>
      <w:spacing w:after="0" w:line="240" w:lineRule="auto"/>
      <w:widowControl w:val="off"/>
    </w:pPr>
    <w:rPr>
      <w:rFonts w:ascii="Courier New" w:hAnsi="Courier New" w:cs="Courier New" w:eastAsiaTheme="minorEastAsia"/>
      <w:sz w:val="20"/>
      <w:lang w:eastAsia="ru-RU"/>
    </w:rPr>
  </w:style>
  <w:style w:type="paragraph" w:styleId="923" w:customStyle="1">
    <w:name w:val="ConsPlusTitlePage"/>
    <w:pPr>
      <w:spacing w:after="0" w:line="240" w:lineRule="auto"/>
      <w:widowControl w:val="off"/>
    </w:pPr>
    <w:rPr>
      <w:rFonts w:ascii="Tahoma" w:hAnsi="Tahoma" w:cs="Tahoma" w:eastAsiaTheme="minorEastAsia"/>
      <w:sz w:val="20"/>
      <w:lang w:eastAsia="ru-RU"/>
    </w:rPr>
  </w:style>
  <w:style w:type="paragraph" w:styleId="924" w:customStyle="1">
    <w:name w:val="ConsPlusJurTerm"/>
    <w:pPr>
      <w:spacing w:after="0" w:line="240" w:lineRule="auto"/>
      <w:widowControl w:val="off"/>
    </w:pPr>
    <w:rPr>
      <w:rFonts w:ascii="Tahoma" w:hAnsi="Tahoma" w:cs="Tahoma" w:eastAsiaTheme="minorEastAsia"/>
      <w:sz w:val="26"/>
      <w:lang w:eastAsia="ru-RU"/>
    </w:rPr>
  </w:style>
  <w:style w:type="paragraph" w:styleId="925" w:customStyle="1">
    <w:name w:val="ConsPlusTextList"/>
    <w:pPr>
      <w:spacing w:after="0" w:line="240" w:lineRule="auto"/>
      <w:widowControl w:val="off"/>
    </w:pPr>
    <w:rPr>
      <w:rFonts w:ascii="Arial" w:hAnsi="Arial" w:cs="Arial" w:eastAsiaTheme="minorEastAsia"/>
      <w:sz w:val="20"/>
      <w:lang w:eastAsia="ru-RU"/>
    </w:rPr>
  </w:style>
  <w:style w:type="paragraph" w:styleId="926">
    <w:name w:val="footnote text"/>
    <w:basedOn w:val="742"/>
    <w:link w:val="927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27" w:customStyle="1">
    <w:name w:val="Текст сноски Знак"/>
    <w:basedOn w:val="752"/>
    <w:link w:val="926"/>
    <w:uiPriority w:val="99"/>
    <w:semiHidden/>
    <w:rPr>
      <w:sz w:val="20"/>
      <w:szCs w:val="20"/>
    </w:rPr>
  </w:style>
  <w:style w:type="character" w:styleId="928">
    <w:name w:val="footnote reference"/>
    <w:basedOn w:val="752"/>
    <w:uiPriority w:val="99"/>
    <w:semiHidden/>
    <w:unhideWhenUsed/>
    <w:rPr>
      <w:vertAlign w:val="superscript"/>
    </w:rPr>
  </w:style>
  <w:style w:type="paragraph" w:styleId="929">
    <w:name w:val="Header"/>
    <w:basedOn w:val="742"/>
    <w:link w:val="93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30" w:customStyle="1">
    <w:name w:val="Верхний колонтитул Знак"/>
    <w:basedOn w:val="752"/>
    <w:link w:val="929"/>
    <w:uiPriority w:val="99"/>
  </w:style>
  <w:style w:type="paragraph" w:styleId="931">
    <w:name w:val="Footer"/>
    <w:basedOn w:val="742"/>
    <w:link w:val="93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32" w:customStyle="1">
    <w:name w:val="Нижний колонтитул Знак"/>
    <w:basedOn w:val="752"/>
    <w:link w:val="931"/>
    <w:uiPriority w:val="99"/>
  </w:style>
  <w:style w:type="paragraph" w:styleId="933">
    <w:name w:val="endnote text"/>
    <w:basedOn w:val="742"/>
    <w:link w:val="934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934" w:customStyle="1">
    <w:name w:val="Текст концевой сноски Знак"/>
    <w:basedOn w:val="752"/>
    <w:link w:val="933"/>
    <w:uiPriority w:val="99"/>
    <w:semiHidden/>
    <w:rPr>
      <w:sz w:val="20"/>
      <w:szCs w:val="20"/>
    </w:rPr>
  </w:style>
  <w:style w:type="character" w:styleId="935">
    <w:name w:val="endnote reference"/>
    <w:basedOn w:val="752"/>
    <w:uiPriority w:val="99"/>
    <w:unhideWhenUsed/>
    <w:rPr>
      <w:vertAlign w:val="superscript"/>
    </w:rPr>
  </w:style>
  <w:style w:type="paragraph" w:styleId="936">
    <w:name w:val="Balloon Text"/>
    <w:basedOn w:val="742"/>
    <w:link w:val="9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37" w:customStyle="1">
    <w:name w:val="Текст выноски Знак"/>
    <w:basedOn w:val="752"/>
    <w:link w:val="936"/>
    <w:uiPriority w:val="99"/>
    <w:semiHidden/>
    <w:rPr>
      <w:rFonts w:ascii="Segoe UI" w:hAnsi="Segoe UI" w:cs="Segoe UI"/>
      <w:sz w:val="18"/>
      <w:szCs w:val="18"/>
    </w:rPr>
  </w:style>
  <w:style w:type="paragraph" w:styleId="938">
    <w:name w:val="Normal (Web)"/>
    <w:basedOn w:val="742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DB9E46A34A4B7F7EDEACE6E14E690DE85E1CA59D3BF9C0B6436ECD2D33F4E71D61AB9D41DE4D851A53DB75A91142776C35721816ADD777FBq0TDG" TargetMode="External"/><Relationship Id="rId12" Type="http://schemas.openxmlformats.org/officeDocument/2006/relationships/hyperlink" Target="consultantplus://offline/ref=DB9E46A34A4B7F7EDEACE6E14E690DE85F12A69D35F5C0B6436ECD2D33F4E71D73ABC54DDF449B1B52CE23F857q1T4G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6C0A3A-D968-49A4-A7B7-D2EA32CE67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Диана Левоновна</dc:creator>
  <cp:keywords/>
  <dc:description/>
  <cp:lastModifiedBy>burkaleva</cp:lastModifiedBy>
  <cp:revision>22</cp:revision>
  <dcterms:created xsi:type="dcterms:W3CDTF">2025-01-23T07:41:00Z</dcterms:created>
  <dcterms:modified xsi:type="dcterms:W3CDTF">2026-03-26T12:58:09Z</dcterms:modified>
</cp:coreProperties>
</file>